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B62" w:rsidRPr="008B4B06" w:rsidRDefault="008B4B06" w:rsidP="008B4B06">
      <w:pPr>
        <w:pStyle w:val="NoSpacing"/>
        <w:jc w:val="center"/>
        <w:rPr>
          <w:b/>
        </w:rPr>
      </w:pPr>
      <w:r w:rsidRPr="008B4B06">
        <w:rPr>
          <w:b/>
        </w:rPr>
        <w:t>TOWN OF CONCORD</w:t>
      </w:r>
    </w:p>
    <w:p w:rsidR="008B4B06" w:rsidRDefault="008B4B06" w:rsidP="008B4B06">
      <w:pPr>
        <w:pStyle w:val="NoSpacing"/>
        <w:jc w:val="center"/>
        <w:rPr>
          <w:b/>
        </w:rPr>
      </w:pPr>
      <w:r w:rsidRPr="008B4B06">
        <w:rPr>
          <w:b/>
        </w:rPr>
        <w:t>PURCHASING POLICY-USING STATE OR FEDERAL FUNDS IN WHOLE OR IN PART</w:t>
      </w:r>
    </w:p>
    <w:p w:rsidR="008B4B06" w:rsidRDefault="008B4B06" w:rsidP="008B4B06">
      <w:pPr>
        <w:pStyle w:val="NoSpacing"/>
        <w:jc w:val="center"/>
        <w:rPr>
          <w:b/>
        </w:rPr>
      </w:pPr>
    </w:p>
    <w:p w:rsidR="008B4B06" w:rsidRDefault="008B4B06" w:rsidP="008B4B06">
      <w:pPr>
        <w:pStyle w:val="NoSpacing"/>
        <w:jc w:val="center"/>
        <w:rPr>
          <w:b/>
        </w:rPr>
      </w:pPr>
    </w:p>
    <w:p w:rsidR="008B4B06" w:rsidRDefault="008B4B06" w:rsidP="008B4B06">
      <w:pPr>
        <w:pStyle w:val="NoSpacing"/>
      </w:pPr>
      <w:r w:rsidRPr="008B4B06">
        <w:t xml:space="preserve">On October </w:t>
      </w:r>
      <w:r>
        <w:t xml:space="preserve">15, 2019 the Concord </w:t>
      </w:r>
      <w:proofErr w:type="spellStart"/>
      <w:r>
        <w:t>Selectboard</w:t>
      </w:r>
      <w:proofErr w:type="spellEnd"/>
      <w:r>
        <w:t xml:space="preserve"> adopted a Purchasing Policy. </w:t>
      </w:r>
      <w:r>
        <w:t>The purpose of this Purchasing Policy is to obtain the highest quality goods and services for the Town of Concord at the lowest possible price, to exercise financial control over the purchasing process, to clearly define authority for the purchasing function, to allow fair and equal opportunity among qualified suppliers, and to provide for increased public confidence in the procedures followed in public purchasing.</w:t>
      </w:r>
    </w:p>
    <w:p w:rsidR="008B4B06" w:rsidRDefault="008B4B06" w:rsidP="008B4B06">
      <w:pPr>
        <w:pStyle w:val="NoSpacing"/>
      </w:pPr>
    </w:p>
    <w:p w:rsidR="008B4B06" w:rsidRDefault="008B4B06" w:rsidP="008B4B06">
      <w:pPr>
        <w:pStyle w:val="NoSpacing"/>
      </w:pPr>
    </w:p>
    <w:p w:rsidR="008B4B06" w:rsidRDefault="008B4B06" w:rsidP="008B4B06">
      <w:pPr>
        <w:pStyle w:val="NoSpacing"/>
      </w:pPr>
      <w:r>
        <w:t>The full text of this Policy may be examined at these five (5) locations:</w:t>
      </w:r>
    </w:p>
    <w:p w:rsidR="008B4B06" w:rsidRDefault="008B4B06" w:rsidP="008B4B06">
      <w:pPr>
        <w:pStyle w:val="NoSpacing"/>
      </w:pPr>
    </w:p>
    <w:p w:rsidR="008B4B06" w:rsidRDefault="008B4B06" w:rsidP="008B4B06">
      <w:pPr>
        <w:pStyle w:val="NoSpacing"/>
        <w:numPr>
          <w:ilvl w:val="0"/>
          <w:numId w:val="1"/>
        </w:numPr>
      </w:pPr>
      <w:r>
        <w:t>Municipal Building</w:t>
      </w:r>
    </w:p>
    <w:p w:rsidR="008B4B06" w:rsidRDefault="008B4B06" w:rsidP="008B4B06">
      <w:pPr>
        <w:pStyle w:val="NoSpacing"/>
        <w:numPr>
          <w:ilvl w:val="0"/>
          <w:numId w:val="1"/>
        </w:numPr>
      </w:pPr>
      <w:r>
        <w:t>Town Clerk’s Office</w:t>
      </w:r>
    </w:p>
    <w:p w:rsidR="008B4B06" w:rsidRDefault="008B4B06" w:rsidP="008B4B06">
      <w:pPr>
        <w:pStyle w:val="NoSpacing"/>
        <w:numPr>
          <w:ilvl w:val="0"/>
          <w:numId w:val="1"/>
        </w:numPr>
      </w:pPr>
      <w:r>
        <w:t>Concord Post Office</w:t>
      </w:r>
    </w:p>
    <w:p w:rsidR="008B4B06" w:rsidRDefault="008B4B06" w:rsidP="008B4B06">
      <w:pPr>
        <w:pStyle w:val="NoSpacing"/>
        <w:numPr>
          <w:ilvl w:val="0"/>
          <w:numId w:val="1"/>
        </w:numPr>
      </w:pPr>
      <w:r>
        <w:t>North Concord Post Office</w:t>
      </w:r>
    </w:p>
    <w:p w:rsidR="008B4B06" w:rsidRDefault="008B4B06" w:rsidP="008B4B06">
      <w:pPr>
        <w:pStyle w:val="NoSpacing"/>
        <w:numPr>
          <w:ilvl w:val="0"/>
          <w:numId w:val="1"/>
        </w:numPr>
      </w:pPr>
      <w:r>
        <w:t xml:space="preserve">Website </w:t>
      </w:r>
      <w:hyperlink r:id="rId5" w:history="1">
        <w:r w:rsidRPr="00B311AE">
          <w:rPr>
            <w:rStyle w:val="Hyperlink"/>
          </w:rPr>
          <w:t>www.concordvt.us</w:t>
        </w:r>
      </w:hyperlink>
    </w:p>
    <w:p w:rsidR="008B4B06" w:rsidRDefault="008B4B06" w:rsidP="008B4B06">
      <w:pPr>
        <w:pStyle w:val="NoSpacing"/>
      </w:pPr>
    </w:p>
    <w:p w:rsidR="008B4B06" w:rsidRDefault="008B4B06" w:rsidP="008B4B06">
      <w:pPr>
        <w:pStyle w:val="NoSpacing"/>
      </w:pPr>
      <w:r>
        <w:t>This Policy Amendment was adopted on January 6, 2026.  It will take effect on March 6</w:t>
      </w:r>
      <w:r w:rsidRPr="008B4B06">
        <w:rPr>
          <w:vertAlign w:val="superscript"/>
        </w:rPr>
        <w:t>th</w:t>
      </w:r>
      <w:r>
        <w:t xml:space="preserve">, 2026, unless a petition signed by at least five percent (5%) of the voters of Concord is filed with the Town Clerk by February 18, 2026, asking for </w:t>
      </w:r>
      <w:r w:rsidR="00B92D32">
        <w:t xml:space="preserve">a vote to disprove the Amended Policy.  If a petition is received, the Concord </w:t>
      </w:r>
      <w:proofErr w:type="spellStart"/>
      <w:r w:rsidR="00B92D32">
        <w:t>Selectboard</w:t>
      </w:r>
      <w:proofErr w:type="spellEnd"/>
      <w:r w:rsidR="00B92D32">
        <w:t xml:space="preserve"> will warn a Special Meeting and the voters may vote on that question.  24V.S.A </w:t>
      </w:r>
      <w:r w:rsidR="00B92D32">
        <w:rPr>
          <w:rFonts w:cstheme="minorHAnsi"/>
        </w:rPr>
        <w:t>§</w:t>
      </w:r>
      <w:r w:rsidR="00B92D32">
        <w:t xml:space="preserve"> 1973.</w:t>
      </w:r>
    </w:p>
    <w:p w:rsidR="00B92D32" w:rsidRDefault="00B92D32" w:rsidP="008B4B06">
      <w:pPr>
        <w:pStyle w:val="NoSpacing"/>
      </w:pPr>
    </w:p>
    <w:p w:rsidR="00B92D32" w:rsidRDefault="00B92D32" w:rsidP="008B4B06">
      <w:pPr>
        <w:pStyle w:val="NoSpacing"/>
      </w:pPr>
      <w:r>
        <w:t>The following named person has knowledge of the Policy and is available to answer questions:</w:t>
      </w:r>
    </w:p>
    <w:p w:rsidR="00B92D32" w:rsidRDefault="00B92D32" w:rsidP="008B4B06">
      <w:pPr>
        <w:pStyle w:val="NoSpacing"/>
      </w:pPr>
      <w:proofErr w:type="spellStart"/>
      <w:r>
        <w:t>Selectboard</w:t>
      </w:r>
      <w:proofErr w:type="spellEnd"/>
      <w:r>
        <w:t xml:space="preserve"> Administrative Assistant, Susan LaMadeleine, 802-695-1094, </w:t>
      </w:r>
      <w:proofErr w:type="spellStart"/>
      <w:r>
        <w:t>ext</w:t>
      </w:r>
      <w:proofErr w:type="spellEnd"/>
      <w:r>
        <w:t xml:space="preserve">: 2100, </w:t>
      </w:r>
      <w:hyperlink r:id="rId6" w:history="1">
        <w:r w:rsidRPr="00B311AE">
          <w:rPr>
            <w:rStyle w:val="Hyperlink"/>
          </w:rPr>
          <w:t>adminasst@concordvt.org</w:t>
        </w:r>
      </w:hyperlink>
      <w:r>
        <w:t>, PO Box 317 Concord, VT 05824.</w:t>
      </w:r>
    </w:p>
    <w:p w:rsidR="00B92D32" w:rsidRDefault="00B92D32" w:rsidP="008B4B06">
      <w:pPr>
        <w:pStyle w:val="NoSpacing"/>
      </w:pPr>
    </w:p>
    <w:p w:rsidR="00B92D32" w:rsidRDefault="00B92D32" w:rsidP="008B4B06">
      <w:pPr>
        <w:pStyle w:val="NoSpacing"/>
      </w:pPr>
    </w:p>
    <w:p w:rsidR="00B92D32" w:rsidRDefault="00B92D32" w:rsidP="00B92D32">
      <w:pPr>
        <w:pStyle w:val="NoSpacing"/>
        <w:jc w:val="center"/>
        <w:rPr>
          <w:b/>
        </w:rPr>
      </w:pPr>
      <w:r>
        <w:rPr>
          <w:b/>
        </w:rPr>
        <w:t>Amendment</w:t>
      </w:r>
    </w:p>
    <w:p w:rsidR="00B92D32" w:rsidRPr="00B92D32" w:rsidRDefault="00B92D32" w:rsidP="00B92D32">
      <w:pPr>
        <w:pStyle w:val="NoSpacing"/>
        <w:jc w:val="center"/>
        <w:rPr>
          <w:b/>
        </w:rPr>
      </w:pPr>
      <w:r>
        <w:rPr>
          <w:b/>
        </w:rPr>
        <w:t>General Federal Purchasing Policy Requirements</w:t>
      </w:r>
    </w:p>
    <w:p w:rsidR="008B4B06" w:rsidRDefault="008B4B06" w:rsidP="008B4B06">
      <w:pPr>
        <w:pStyle w:val="NoSpacing"/>
      </w:pPr>
    </w:p>
    <w:p w:rsidR="00B92D32" w:rsidRDefault="00B92D32" w:rsidP="00B92D32">
      <w:pPr>
        <w:rPr>
          <w:rFonts w:ascii="Century Gothic" w:hAnsi="Century Gothic" w:cs="Calibri"/>
          <w:b/>
          <w:bCs/>
          <w14:ligatures w14:val="standardContextual"/>
        </w:rPr>
      </w:pPr>
      <w:r>
        <w:rPr>
          <w:rFonts w:ascii="Century Gothic" w:hAnsi="Century Gothic" w:cs="Calibri"/>
          <w:b/>
          <w:sz w:val="28"/>
          <w:szCs w:val="28"/>
          <w14:ligatures w14:val="standardContextual"/>
        </w:rPr>
        <w:t>PROCUREMENT USING STATE OR FEDERAL FUNDS IN WHOLE OR IN PART</w:t>
      </w:r>
    </w:p>
    <w:p w:rsidR="00B92D32" w:rsidRDefault="00B92D32" w:rsidP="00B92D32">
      <w:pPr>
        <w:rPr>
          <w:rFonts w:ascii="Calibri" w:hAnsi="Calibri" w:cs="Calibri"/>
          <w14:ligatures w14:val="standardContextual"/>
        </w:rPr>
      </w:pPr>
    </w:p>
    <w:p w:rsidR="00B92D32" w:rsidRDefault="00B92D32" w:rsidP="00B92D32">
      <w:pPr>
        <w:rPr>
          <w:rFonts w:ascii="Calibri" w:hAnsi="Calibri" w:cs="Calibri"/>
          <w14:ligatures w14:val="standardContextual"/>
        </w:rPr>
      </w:pPr>
      <w:r>
        <w:rPr>
          <w:rFonts w:ascii="Calibri" w:hAnsi="Calibri" w:cs="Calibri"/>
          <w:b/>
          <w:bCs/>
          <w14:ligatures w14:val="standardContextual"/>
        </w:rPr>
        <w:t>GENERAL FEDERAL PROCUREMENT REQUIREMENTS.</w:t>
      </w:r>
    </w:p>
    <w:p w:rsidR="00B92D32" w:rsidRDefault="00B92D32" w:rsidP="00B92D32">
      <w:pPr>
        <w:rPr>
          <w:rFonts w:ascii="Calibri" w:hAnsi="Calibri" w:cs="Calibri"/>
          <w14:ligatures w14:val="standardContextual"/>
        </w:rPr>
      </w:pPr>
    </w:p>
    <w:p w:rsidR="00B92D32" w:rsidRDefault="00B92D32" w:rsidP="00B92D32">
      <w:pPr>
        <w:rPr>
          <w:rFonts w:ascii="Calibri" w:hAnsi="Calibri" w:cs="Calibri"/>
          <w14:ligatures w14:val="standardContextual"/>
        </w:rPr>
      </w:pPr>
      <w:r>
        <w:rPr>
          <w:rFonts w:ascii="Calibri" w:hAnsi="Calibri" w:cs="Calibri"/>
          <w14:ligatures w14:val="standardContextual"/>
        </w:rPr>
        <w:t>Purchases made using Federal funds must adhere to the following general standards:</w:t>
      </w:r>
    </w:p>
    <w:p w:rsidR="00B92D32" w:rsidRDefault="00B92D32" w:rsidP="00B92D32">
      <w:pPr>
        <w:rPr>
          <w:rFonts w:ascii="Calibri" w:hAnsi="Calibri" w:cs="Calibri"/>
          <w14:ligatures w14:val="standardContextual"/>
        </w:rPr>
      </w:pPr>
    </w:p>
    <w:p w:rsidR="00B92D32" w:rsidRDefault="00B92D32" w:rsidP="00B92D32">
      <w:pPr>
        <w:widowControl w:val="0"/>
        <w:numPr>
          <w:ilvl w:val="0"/>
          <w:numId w:val="2"/>
        </w:numPr>
        <w:autoSpaceDE w:val="0"/>
        <w:autoSpaceDN w:val="0"/>
        <w:adjustRightInd w:val="0"/>
        <w:rPr>
          <w:rFonts w:ascii="Calibri" w:hAnsi="Calibri" w:cs="Calibri"/>
          <w14:ligatures w14:val="standardContextual"/>
        </w:rPr>
      </w:pPr>
      <w:r>
        <w:rPr>
          <w:rFonts w:ascii="Calibri" w:hAnsi="Calibri" w:cs="Calibri"/>
          <w:b/>
          <w:bCs/>
          <w14:ligatures w14:val="standardContextual"/>
        </w:rPr>
        <w:t>Open and Competitive Bidding.</w:t>
      </w:r>
      <w:r>
        <w:rPr>
          <w:rFonts w:ascii="Calibri" w:hAnsi="Calibri" w:cs="Calibri"/>
          <w14:ligatures w14:val="standardContextual"/>
        </w:rPr>
        <w:t xml:space="preserve"> All purchases must be made using procedures that promote open and competitive bidding to the greatest extent possible, as outlined in </w:t>
      </w:r>
      <w:hyperlink r:id="rId7" w:history="1">
        <w:r>
          <w:rPr>
            <w:rStyle w:val="Hyperlink"/>
            <w:rFonts w:ascii="Calibri" w:hAnsi="Calibri" w:cs="Calibri"/>
            <w:color w:val="174088"/>
            <w14:ligatures w14:val="standardContextual"/>
          </w:rPr>
          <w:t>2 CFR § 200.319</w:t>
        </w:r>
      </w:hyperlink>
      <w:r>
        <w:rPr>
          <w:rFonts w:ascii="Calibri" w:hAnsi="Calibri" w:cs="Calibri"/>
          <w14:ligatures w14:val="standardContextual"/>
        </w:rPr>
        <w:t xml:space="preserve">. All procurement must incorporate a clear and accurate description of the technical requirements for the property, equipment, or service being procured, identify additional requirements that must be fulfilled, and include factors that will be used for evaluation. Contractors that develop or draft specifications, requirements, statements of work, or invitations for bids must be excluded from competing on those purchases. </w:t>
      </w:r>
    </w:p>
    <w:p w:rsidR="00B92D32" w:rsidRDefault="00B92D32" w:rsidP="00B92D32">
      <w:pPr>
        <w:ind w:left="360"/>
        <w:rPr>
          <w:rFonts w:ascii="Calibri" w:hAnsi="Calibri" w:cs="Calibri"/>
          <w14:ligatures w14:val="standardContextual"/>
        </w:rPr>
      </w:pPr>
    </w:p>
    <w:p w:rsidR="00B92D32" w:rsidRDefault="00B92D32" w:rsidP="00B92D32">
      <w:pPr>
        <w:widowControl w:val="0"/>
        <w:numPr>
          <w:ilvl w:val="0"/>
          <w:numId w:val="2"/>
        </w:numPr>
        <w:autoSpaceDE w:val="0"/>
        <w:autoSpaceDN w:val="0"/>
        <w:adjustRightInd w:val="0"/>
        <w:rPr>
          <w:rFonts w:ascii="Calibri" w:hAnsi="Calibri" w:cs="Calibri"/>
          <w14:ligatures w14:val="standardContextual"/>
        </w:rPr>
      </w:pPr>
      <w:r>
        <w:rPr>
          <w:rFonts w:ascii="Calibri" w:hAnsi="Calibri" w:cs="Calibri"/>
          <w:b/>
          <w:bCs/>
          <w14:ligatures w14:val="standardContextual"/>
        </w:rPr>
        <w:t>Non-Discrimination.</w:t>
      </w:r>
      <w:r>
        <w:rPr>
          <w:rFonts w:ascii="Calibri" w:hAnsi="Calibri" w:cs="Calibri"/>
          <w14:ligatures w14:val="standardContextual"/>
        </w:rPr>
        <w:t xml:space="preserve"> There must be no discrimination in procurement practices based on race, color, national origin, sex, disability, or age in accordance with </w:t>
      </w:r>
      <w:hyperlink r:id="rId8" w:anchor="200.300" w:history="1">
        <w:r>
          <w:rPr>
            <w:rStyle w:val="Hyperlink"/>
            <w:rFonts w:ascii="Calibri" w:hAnsi="Calibri" w:cs="Calibri"/>
            <w:color w:val="174088"/>
            <w14:ligatures w14:val="standardContextual"/>
          </w:rPr>
          <w:t>§ 200.300(a-b)</w:t>
        </w:r>
      </w:hyperlink>
      <w:r>
        <w:rPr>
          <w:rFonts w:ascii="Calibri" w:hAnsi="Calibri" w:cs="Calibri"/>
          <w14:ligatures w14:val="standardContextual"/>
        </w:rPr>
        <w:t>.</w:t>
      </w:r>
    </w:p>
    <w:p w:rsidR="00B92D32" w:rsidRDefault="00B92D32" w:rsidP="00B92D32">
      <w:pPr>
        <w:ind w:left="360"/>
        <w:rPr>
          <w:rFonts w:ascii="Calibri" w:hAnsi="Calibri" w:cs="Calibri"/>
          <w14:ligatures w14:val="standardContextual"/>
        </w:rPr>
      </w:pPr>
    </w:p>
    <w:p w:rsidR="00B92D32" w:rsidRDefault="00B92D32" w:rsidP="00B92D32">
      <w:pPr>
        <w:pStyle w:val="ListParagraph"/>
        <w:numPr>
          <w:ilvl w:val="0"/>
          <w:numId w:val="2"/>
        </w:numPr>
        <w:rPr>
          <w:rFonts w:ascii="Calibri" w:hAnsi="Calibri" w:cs="Calibri"/>
          <w14:ligatures w14:val="standardContextual"/>
        </w:rPr>
      </w:pPr>
      <w:r>
        <w:rPr>
          <w:rFonts w:ascii="Calibri" w:hAnsi="Calibri" w:cs="Calibri"/>
          <w:b/>
          <w:bCs/>
          <w14:ligatures w14:val="standardContextual"/>
        </w:rPr>
        <w:t>Conflict of Interest.</w:t>
      </w:r>
      <w:r>
        <w:rPr>
          <w:rFonts w:ascii="Calibri" w:hAnsi="Calibri" w:cs="Calibri"/>
          <w14:ligatures w14:val="standardContextual"/>
        </w:rPr>
        <w:t xml:space="preserve"> See Definitions section. Any employee, officer, or agent of the Municipality who participates in the procurement process must make reasonable efforts to avoid real or apparent conflicts of interest, must disclose any potential conflicts of interest in writing, must refrain from participating in procurement decisions where such conflicts exist, and must comply with other requirements of </w:t>
      </w:r>
      <w:hyperlink r:id="rId9" w:history="1">
        <w:r>
          <w:rPr>
            <w:rStyle w:val="Hyperlink"/>
            <w:rFonts w:ascii="Calibri" w:hAnsi="Calibri" w:cs="Calibri"/>
            <w:color w:val="174088"/>
            <w14:ligatures w14:val="standardContextual"/>
          </w:rPr>
          <w:t>2 CFR § 200.318(c)</w:t>
        </w:r>
        <w:r>
          <w:rPr>
            <w:rStyle w:val="Hyperlink"/>
            <w:rFonts w:ascii="Calibri" w:hAnsi="Calibri" w:cs="Calibri"/>
            <w:color w:val="000000" w:themeColor="text1"/>
            <w14:ligatures w14:val="standardContextual"/>
          </w:rPr>
          <w:t>.</w:t>
        </w:r>
      </w:hyperlink>
      <w:r>
        <w:rPr>
          <w:rFonts w:ascii="Calibri" w:hAnsi="Calibri" w:cs="Calibri"/>
          <w14:ligatures w14:val="standardContextual"/>
        </w:rPr>
        <w:t xml:space="preserve"> If the municipality has an affiliate or subsidiary organization that is not a State, local government, or Indian Tribe, the Municipality also must maintain written standards of conduct covering organizational conflicts of interest. Any actual or potential conflict of interest must be disclosed to the funder. If a conflict exists between the Federal requirements and the Municipality’s requirements, the most restrictive requirement must be used. Disciplinary actions shall be the enforcement actions in the Municipality’s adopted investigation and enforcement ordinance, personnel policy, or rule</w:t>
      </w:r>
      <w:r>
        <w:fldChar w:fldCharType="begin"/>
      </w:r>
      <w:r>
        <w:fldChar w:fldCharType="separate"/>
      </w:r>
      <w:r>
        <w:rPr>
          <w:rFonts w:ascii="Calibri" w:hAnsi="Calibri" w:cs="Calibri"/>
          <w14:ligatures w14:val="standardContextual"/>
        </w:rPr>
        <w:t>Code of Ethics Investigation and Enforcement Ordinance</w:t>
      </w:r>
      <w:r>
        <w:fldChar w:fldCharType="end"/>
      </w:r>
      <w:r>
        <w:rPr>
          <w:rFonts w:ascii="Calibri" w:hAnsi="Calibri" w:cs="Calibri"/>
          <w14:ligatures w14:val="standardContextual"/>
        </w:rPr>
        <w:t>. Disciplinary actions of Appointed Officers shall apply to non-employee agents.</w:t>
      </w:r>
    </w:p>
    <w:p w:rsidR="00B92D32" w:rsidRDefault="00B92D32" w:rsidP="00B92D32">
      <w:pPr>
        <w:ind w:left="360"/>
        <w:rPr>
          <w:rFonts w:ascii="Calibri" w:hAnsi="Calibri" w:cs="Calibri"/>
          <w14:ligatures w14:val="standardContextual"/>
        </w:rPr>
      </w:pPr>
    </w:p>
    <w:p w:rsidR="00B92D32" w:rsidRDefault="00B92D32" w:rsidP="00B92D32">
      <w:pPr>
        <w:pStyle w:val="ListParagraph"/>
        <w:numPr>
          <w:ilvl w:val="0"/>
          <w:numId w:val="2"/>
        </w:numPr>
        <w:rPr>
          <w:rFonts w:ascii="Calibri" w:hAnsi="Calibri" w:cs="Calibri"/>
          <w14:ligatures w14:val="standardContextual"/>
        </w:rPr>
      </w:pPr>
      <w:r>
        <w:rPr>
          <w:rFonts w:ascii="Calibri" w:hAnsi="Calibri" w:cs="Calibri"/>
          <w:b/>
          <w:bCs/>
          <w14:ligatures w14:val="standardContextual"/>
        </w:rPr>
        <w:t>Gifts.</w:t>
      </w:r>
      <w:r>
        <w:rPr>
          <w:rFonts w:ascii="Calibri" w:hAnsi="Calibri" w:cs="Calibri"/>
          <w14:ligatures w14:val="standardContextual"/>
        </w:rPr>
        <w:t xml:space="preserve"> </w:t>
      </w:r>
      <w:r>
        <w:rPr>
          <w:rFonts w:ascii="Calibri" w:eastAsiaTheme="minorHAnsi" w:hAnsi="Calibri" w:cs="Calibri"/>
          <w14:ligatures w14:val="standardContextual"/>
        </w:rPr>
        <w:t>An employee, officer, and agent of the Municipality may neither solicit nor accept gratuities, favors, or anything of monetary value from contractors,</w:t>
      </w:r>
      <w:r>
        <w:rPr>
          <w:rFonts w:ascii="Calibri" w:hAnsi="Calibri" w:cs="Calibri"/>
          <w14:ligatures w14:val="standardContextual"/>
        </w:rPr>
        <w:t xml:space="preserve"> potential contractors, or parties to sub-agreements. (</w:t>
      </w:r>
      <w:hyperlink r:id="rId10" w:anchor=":~:text=(c)-,Conflicts%20of%20interest.,-(1)" w:history="1">
        <w:r>
          <w:rPr>
            <w:rStyle w:val="Hyperlink"/>
            <w:rFonts w:ascii="Calibri" w:hAnsi="Calibri" w:cs="Calibri"/>
            <w:color w:val="174088"/>
            <w14:ligatures w14:val="standardContextual"/>
          </w:rPr>
          <w:t>§ 200.318(c)(1)</w:t>
        </w:r>
      </w:hyperlink>
      <w:r>
        <w:rPr>
          <w:rFonts w:ascii="Calibri" w:hAnsi="Calibri" w:cs="Calibri"/>
          <w14:ligatures w14:val="standardContextual"/>
        </w:rPr>
        <w:t>)</w:t>
      </w:r>
    </w:p>
    <w:p w:rsidR="00B92D32" w:rsidRDefault="00B92D32" w:rsidP="00B92D32">
      <w:pPr>
        <w:ind w:left="360"/>
        <w:rPr>
          <w:rFonts w:ascii="Calibri" w:hAnsi="Calibri" w:cs="Calibri"/>
          <w14:ligatures w14:val="standardContextual"/>
        </w:rPr>
      </w:pPr>
    </w:p>
    <w:p w:rsidR="00B92D32" w:rsidRDefault="00B92D32" w:rsidP="00B92D32">
      <w:pPr>
        <w:pStyle w:val="ListParagraph"/>
        <w:numPr>
          <w:ilvl w:val="0"/>
          <w:numId w:val="2"/>
        </w:numPr>
        <w:rPr>
          <w:rFonts w:ascii="Calibri" w:hAnsi="Calibri" w:cs="Calibri"/>
          <w14:ligatures w14:val="standardContextual"/>
        </w:rPr>
      </w:pPr>
      <w:r>
        <w:rPr>
          <w:rFonts w:ascii="Calibri" w:hAnsi="Calibri" w:cs="Calibri"/>
          <w:b/>
          <w14:ligatures w14:val="standardContextual"/>
        </w:rPr>
        <w:t xml:space="preserve">Small and Socio-Economic Business Procurement. </w:t>
      </w:r>
      <w:r>
        <w:rPr>
          <w:rFonts w:ascii="Calibri" w:hAnsi="Calibri" w:cs="Calibri"/>
          <w14:ligatures w14:val="standardContextual"/>
        </w:rPr>
        <w:t xml:space="preserve">Whenever possible, qualified small, minority,  and veteran-owned businesses, women’s business enterprises, and labor surplus area firms must be considered for procurement and documentation retained demonstrating how the six actions outlined in </w:t>
      </w:r>
      <w:hyperlink r:id="rId11" w:history="1">
        <w:r>
          <w:rPr>
            <w:rStyle w:val="Hyperlink"/>
            <w:rFonts w:ascii="Calibri" w:hAnsi="Calibri" w:cs="Calibri"/>
            <w:bCs/>
            <w:color w:val="174088"/>
            <w14:ligatures w14:val="standardContextual"/>
          </w:rPr>
          <w:t>§ 200.321</w:t>
        </w:r>
      </w:hyperlink>
      <w:r>
        <w:rPr>
          <w:rFonts w:ascii="Calibri" w:hAnsi="Calibri" w:cs="Calibri"/>
          <w:bCs/>
          <w:color w:val="174088"/>
          <w14:ligatures w14:val="standardContextual"/>
        </w:rPr>
        <w:t xml:space="preserve"> </w:t>
      </w:r>
      <w:r>
        <w:rPr>
          <w:rFonts w:ascii="Calibri" w:hAnsi="Calibri" w:cs="Calibri"/>
          <w:bCs/>
          <w14:ligatures w14:val="standardContextual"/>
        </w:rPr>
        <w:t>were considered.</w:t>
      </w:r>
    </w:p>
    <w:p w:rsidR="00B92D32" w:rsidRDefault="00B92D32" w:rsidP="00B92D32">
      <w:pPr>
        <w:ind w:left="360"/>
        <w:rPr>
          <w:rFonts w:ascii="Calibri" w:hAnsi="Calibri" w:cs="Calibri"/>
          <w14:ligatures w14:val="standardContextual"/>
        </w:rPr>
      </w:pPr>
    </w:p>
    <w:p w:rsidR="00B92D32" w:rsidRDefault="00B92D32" w:rsidP="00B92D32">
      <w:pPr>
        <w:pStyle w:val="ListParagraph"/>
        <w:numPr>
          <w:ilvl w:val="0"/>
          <w:numId w:val="2"/>
        </w:numPr>
        <w:rPr>
          <w:rFonts w:ascii="Calibri" w:hAnsi="Calibri" w:cs="Calibri"/>
          <w14:ligatures w14:val="standardContextual"/>
        </w:rPr>
      </w:pPr>
      <w:r>
        <w:rPr>
          <w:rFonts w:ascii="Calibri" w:hAnsi="Calibri" w:cs="Calibri"/>
          <w:b/>
          <w:bCs/>
          <w14:ligatures w14:val="standardContextual"/>
        </w:rPr>
        <w:t>Maximizing Resources.</w:t>
      </w:r>
      <w:r>
        <w:rPr>
          <w:rFonts w:ascii="Calibri" w:hAnsi="Calibri" w:cs="Calibri"/>
          <w14:ligatures w14:val="standardContextual"/>
        </w:rPr>
        <w:t xml:space="preserve"> The Municipality must:</w:t>
      </w:r>
    </w:p>
    <w:p w:rsidR="00B92D32" w:rsidRDefault="00B92D32" w:rsidP="00B92D32">
      <w:pPr>
        <w:rPr>
          <w:rFonts w:ascii="Calibri" w:hAnsi="Calibri" w:cs="Calibri"/>
          <w14:ligatures w14:val="standardContextual"/>
        </w:rPr>
      </w:pPr>
    </w:p>
    <w:p w:rsidR="00B92D32" w:rsidRDefault="00B92D32" w:rsidP="00B92D32">
      <w:pPr>
        <w:pStyle w:val="ListParagraph"/>
        <w:numPr>
          <w:ilvl w:val="1"/>
          <w:numId w:val="2"/>
        </w:numPr>
        <w:rPr>
          <w:rFonts w:ascii="Calibri" w:hAnsi="Calibri" w:cs="Calibri"/>
          <w14:ligatures w14:val="standardContextual"/>
        </w:rPr>
      </w:pPr>
      <w:proofErr w:type="gramStart"/>
      <w:r>
        <w:rPr>
          <w:rFonts w:ascii="Calibri" w:hAnsi="Calibri" w:cs="Calibri"/>
          <w14:ligatures w14:val="standardContextual"/>
        </w:rPr>
        <w:t>avoid</w:t>
      </w:r>
      <w:proofErr w:type="gramEnd"/>
      <w:r>
        <w:rPr>
          <w:rFonts w:ascii="Calibri" w:hAnsi="Calibri" w:cs="Calibri"/>
          <w14:ligatures w14:val="standardContextual"/>
        </w:rPr>
        <w:t xml:space="preserve"> the </w:t>
      </w:r>
      <w:hyperlink r:id="rId12" w:anchor=":~:text=(d)-,Avoidance,-of%20unnecessary%20or" w:history="1">
        <w:r>
          <w:rPr>
            <w:rStyle w:val="Hyperlink"/>
            <w:rFonts w:ascii="Calibri" w:hAnsi="Calibri" w:cs="Calibri"/>
            <w:color w:val="174088"/>
            <w14:ligatures w14:val="standardContextual"/>
          </w:rPr>
          <w:t>acquisition of unnecessary or duplicative items</w:t>
        </w:r>
      </w:hyperlink>
      <w:r>
        <w:rPr>
          <w:rFonts w:ascii="Calibri" w:hAnsi="Calibri" w:cs="Calibri"/>
          <w14:ligatures w14:val="standardContextual"/>
        </w:rPr>
        <w:t>.</w:t>
      </w:r>
    </w:p>
    <w:p w:rsidR="00B92D32" w:rsidRDefault="00B92D32" w:rsidP="00B92D32">
      <w:pPr>
        <w:pStyle w:val="ListParagraph"/>
        <w:numPr>
          <w:ilvl w:val="1"/>
          <w:numId w:val="2"/>
        </w:numPr>
        <w:rPr>
          <w:rFonts w:ascii="Calibri" w:hAnsi="Calibri" w:cs="Calibri"/>
          <w14:ligatures w14:val="standardContextual"/>
        </w:rPr>
      </w:pPr>
      <w:proofErr w:type="gramStart"/>
      <w:r>
        <w:rPr>
          <w:rFonts w:ascii="Calibri" w:hAnsi="Calibri" w:cs="Calibri"/>
          <w14:ligatures w14:val="standardContextual"/>
        </w:rPr>
        <w:t>use</w:t>
      </w:r>
      <w:proofErr w:type="gramEnd"/>
      <w:r>
        <w:rPr>
          <w:rFonts w:ascii="Calibri" w:hAnsi="Calibri" w:cs="Calibri"/>
          <w14:ligatures w14:val="standardContextual"/>
        </w:rPr>
        <w:t xml:space="preserve"> </w:t>
      </w:r>
      <w:hyperlink r:id="rId13" w:anchor=":~:text=Procurement%20arrangements%20using-,strategic%20sourcing,-.%20When%20appropriate" w:history="1">
        <w:r>
          <w:rPr>
            <w:rStyle w:val="Hyperlink"/>
            <w:rFonts w:ascii="Calibri" w:hAnsi="Calibri" w:cs="Calibri"/>
            <w:color w:val="174088"/>
            <w14:ligatures w14:val="standardContextual"/>
          </w:rPr>
          <w:t>strategic sourcing</w:t>
        </w:r>
      </w:hyperlink>
      <w:r>
        <w:rPr>
          <w:rFonts w:ascii="Calibri" w:hAnsi="Calibri" w:cs="Calibri"/>
          <w14:ligatures w14:val="standardContextual"/>
        </w:rPr>
        <w:t xml:space="preserve"> when appropriate.</w:t>
      </w:r>
    </w:p>
    <w:p w:rsidR="00B92D32" w:rsidRDefault="00B92D32" w:rsidP="00B92D32">
      <w:pPr>
        <w:pStyle w:val="ListParagraph"/>
        <w:numPr>
          <w:ilvl w:val="1"/>
          <w:numId w:val="2"/>
        </w:numPr>
        <w:rPr>
          <w:rFonts w:ascii="Calibri" w:hAnsi="Calibri" w:cs="Calibri"/>
          <w14:ligatures w14:val="standardContextual"/>
        </w:rPr>
      </w:pPr>
      <w:r>
        <w:rPr>
          <w:rFonts w:ascii="Calibri" w:hAnsi="Calibri" w:cs="Calibri"/>
          <w14:ligatures w14:val="standardContextual"/>
        </w:rPr>
        <w:t xml:space="preserve">use </w:t>
      </w:r>
      <w:hyperlink r:id="rId14" w:anchor=":~:text=(f)-,Use%20of%20excess,-and%20surplus%20Federal" w:history="1">
        <w:r>
          <w:rPr>
            <w:rStyle w:val="Hyperlink"/>
            <w:rFonts w:ascii="Calibri" w:hAnsi="Calibri" w:cs="Calibri"/>
            <w:color w:val="174088"/>
            <w14:ligatures w14:val="standardContextual"/>
          </w:rPr>
          <w:t>excess and surplus Federal property</w:t>
        </w:r>
      </w:hyperlink>
      <w:r>
        <w:rPr>
          <w:rFonts w:ascii="Calibri" w:hAnsi="Calibri" w:cs="Calibri"/>
          <w14:ligatures w14:val="standardContextual"/>
        </w:rPr>
        <w:t xml:space="preserve"> when feasible and to achieve cost reductions, use recovered materials when individual or aggregate yearly purchases exceed $10,000 or as otherwise described in </w:t>
      </w:r>
      <w:hyperlink r:id="rId15" w:history="1">
        <w:r>
          <w:rPr>
            <w:rStyle w:val="Hyperlink"/>
            <w:rFonts w:ascii="Calibri" w:hAnsi="Calibri" w:cs="Calibri"/>
            <w:color w:val="174088"/>
            <w14:ligatures w14:val="standardContextual"/>
          </w:rPr>
          <w:t>§ 200.323</w:t>
        </w:r>
      </w:hyperlink>
      <w:r>
        <w:rPr>
          <w:rFonts w:ascii="Calibri" w:hAnsi="Calibri" w:cs="Calibri"/>
          <w14:ligatures w14:val="standardContextual"/>
        </w:rPr>
        <w:t>.</w:t>
      </w:r>
    </w:p>
    <w:p w:rsidR="00B92D32" w:rsidRDefault="00B92D32" w:rsidP="00B92D32">
      <w:pPr>
        <w:pStyle w:val="ListParagraph"/>
        <w:numPr>
          <w:ilvl w:val="1"/>
          <w:numId w:val="2"/>
        </w:numPr>
        <w:rPr>
          <w:rFonts w:ascii="Calibri" w:hAnsi="Calibri" w:cs="Calibri"/>
          <w14:ligatures w14:val="standardContextual"/>
        </w:rPr>
      </w:pPr>
      <w:proofErr w:type="gramStart"/>
      <w:r>
        <w:rPr>
          <w:rFonts w:ascii="Calibri" w:hAnsi="Calibri" w:cs="Calibri"/>
          <w14:ligatures w14:val="standardContextual"/>
        </w:rPr>
        <w:t>use</w:t>
      </w:r>
      <w:proofErr w:type="gramEnd"/>
      <w:r>
        <w:rPr>
          <w:rFonts w:ascii="Calibri" w:hAnsi="Calibri" w:cs="Calibri"/>
          <w14:ligatures w14:val="standardContextual"/>
        </w:rPr>
        <w:t xml:space="preserve"> </w:t>
      </w:r>
      <w:hyperlink r:id="rId16" w:anchor=":~:text=Use%20of-,value%20engineering%20clauses,-.%20When%20practical" w:history="1">
        <w:r>
          <w:rPr>
            <w:rStyle w:val="Hyperlink"/>
            <w:rFonts w:ascii="Calibri" w:hAnsi="Calibri" w:cs="Calibri"/>
            <w:color w:val="174088"/>
            <w14:ligatures w14:val="standardContextual"/>
          </w:rPr>
          <w:t>value engineering clauses</w:t>
        </w:r>
      </w:hyperlink>
      <w:r>
        <w:rPr>
          <w:rFonts w:ascii="Calibri" w:hAnsi="Calibri" w:cs="Calibri"/>
          <w14:ligatures w14:val="standardContextual"/>
        </w:rPr>
        <w:t xml:space="preserve"> for construction projects when practical.</w:t>
      </w:r>
    </w:p>
    <w:p w:rsidR="00B92D32" w:rsidRDefault="00B92D32" w:rsidP="00B92D32">
      <w:pPr>
        <w:pStyle w:val="ListParagraph"/>
        <w:numPr>
          <w:ilvl w:val="1"/>
          <w:numId w:val="2"/>
        </w:numPr>
        <w:rPr>
          <w:rFonts w:ascii="Calibri" w:hAnsi="Calibri" w:cs="Calibri"/>
          <w14:ligatures w14:val="standardContextual"/>
        </w:rPr>
      </w:pPr>
      <w:proofErr w:type="gramStart"/>
      <w:r>
        <w:rPr>
          <w:rFonts w:ascii="Calibri" w:hAnsi="Calibri" w:cs="Calibri"/>
          <w14:ligatures w14:val="standardContextual"/>
        </w:rPr>
        <w:t>provide</w:t>
      </w:r>
      <w:proofErr w:type="gramEnd"/>
      <w:r>
        <w:rPr>
          <w:rFonts w:ascii="Calibri" w:hAnsi="Calibri" w:cs="Calibri"/>
          <w14:ligatures w14:val="standardContextual"/>
        </w:rPr>
        <w:t xml:space="preserve"> a preference for the purchase, acquisition, or use of goods, products, or materials </w:t>
      </w:r>
      <w:hyperlink r:id="rId17" w:history="1">
        <w:r>
          <w:rPr>
            <w:rStyle w:val="Hyperlink"/>
            <w:rFonts w:ascii="Calibri" w:hAnsi="Calibri" w:cs="Calibri"/>
            <w:color w:val="174088"/>
            <w14:ligatures w14:val="standardContextual"/>
          </w:rPr>
          <w:t>produced in the United States</w:t>
        </w:r>
      </w:hyperlink>
      <w:r>
        <w:rPr>
          <w:rFonts w:ascii="Calibri" w:hAnsi="Calibri" w:cs="Calibri"/>
          <w14:ligatures w14:val="standardContextual"/>
        </w:rPr>
        <w:t xml:space="preserve"> to the greatest extent practicable and consistent with the law.</w:t>
      </w:r>
    </w:p>
    <w:p w:rsidR="00B92D32" w:rsidRDefault="00B92D32" w:rsidP="00B92D32">
      <w:pPr>
        <w:pStyle w:val="ListParagraph"/>
        <w:numPr>
          <w:ilvl w:val="1"/>
          <w:numId w:val="2"/>
        </w:numPr>
        <w:rPr>
          <w:rFonts w:ascii="Calibri" w:hAnsi="Calibri" w:cs="Calibri"/>
          <w14:ligatures w14:val="standardContextual"/>
        </w:rPr>
      </w:pPr>
      <w:proofErr w:type="gramStart"/>
      <w:r>
        <w:rPr>
          <w:rFonts w:ascii="Calibri" w:hAnsi="Calibri" w:cs="Calibri"/>
          <w14:ligatures w14:val="standardContextual"/>
        </w:rPr>
        <w:t>implement</w:t>
      </w:r>
      <w:proofErr w:type="gramEnd"/>
      <w:r>
        <w:rPr>
          <w:rFonts w:ascii="Calibri" w:hAnsi="Calibri" w:cs="Calibri"/>
          <w14:ligatures w14:val="standardContextual"/>
        </w:rPr>
        <w:t xml:space="preserve"> the Buy America preferences set forth in </w:t>
      </w:r>
      <w:hyperlink r:id="rId18" w:history="1">
        <w:r>
          <w:rPr>
            <w:rStyle w:val="Hyperlink"/>
            <w:rFonts w:ascii="Calibri" w:hAnsi="Calibri" w:cs="Calibri"/>
            <w:color w:val="174088"/>
            <w14:ligatures w14:val="standardContextual"/>
          </w:rPr>
          <w:t>2 CFR part 184</w:t>
        </w:r>
      </w:hyperlink>
      <w:r>
        <w:rPr>
          <w:rFonts w:ascii="Calibri" w:hAnsi="Calibri" w:cs="Calibri"/>
        </w:rPr>
        <w:t xml:space="preserve"> for p</w:t>
      </w:r>
      <w:r>
        <w:rPr>
          <w:rFonts w:ascii="Calibri" w:hAnsi="Calibri" w:cs="Calibri"/>
          <w14:ligatures w14:val="standardContextual"/>
        </w:rPr>
        <w:t xml:space="preserve">rojects related to the construction, alteration, maintenance, or repair of </w:t>
      </w:r>
      <w:hyperlink r:id="rId19" w:anchor=":~:text=Infrastructure%20in%20general" w:history="1">
        <w:r>
          <w:rPr>
            <w:rStyle w:val="Hyperlink"/>
            <w:rFonts w:ascii="Calibri" w:hAnsi="Calibri" w:cs="Calibri"/>
            <w:color w:val="174088"/>
            <w14:ligatures w14:val="standardContextual"/>
          </w:rPr>
          <w:t>infrastructure</w:t>
        </w:r>
      </w:hyperlink>
      <w:r>
        <w:rPr>
          <w:rFonts w:ascii="Calibri" w:hAnsi="Calibri" w:cs="Calibri"/>
        </w:rPr>
        <w:t>.</w:t>
      </w:r>
    </w:p>
    <w:p w:rsidR="00B92D32" w:rsidRDefault="00B92D32" w:rsidP="00B92D32">
      <w:pPr>
        <w:ind w:left="1080"/>
        <w:rPr>
          <w:rFonts w:ascii="Calibri" w:hAnsi="Calibri" w:cs="Calibri"/>
          <w14:ligatures w14:val="standardContextual"/>
        </w:rPr>
      </w:pPr>
    </w:p>
    <w:p w:rsidR="00B92D32" w:rsidRDefault="00B92D32" w:rsidP="00B92D32">
      <w:pPr>
        <w:pStyle w:val="ListParagraph"/>
        <w:numPr>
          <w:ilvl w:val="0"/>
          <w:numId w:val="3"/>
        </w:numPr>
        <w:rPr>
          <w:rFonts w:ascii="Calibri" w:hAnsi="Calibri" w:cs="Calibri"/>
          <w14:ligatures w14:val="standardContextual"/>
        </w:rPr>
      </w:pPr>
      <w:r>
        <w:rPr>
          <w:rFonts w:ascii="Calibri" w:hAnsi="Calibri" w:cs="Calibri"/>
          <w:b/>
          <w:bCs/>
          <w14:ligatures w14:val="standardContextual"/>
        </w:rPr>
        <w:t>Contract Cost and Price.</w:t>
      </w:r>
      <w:r>
        <w:rPr>
          <w:rFonts w:ascii="Calibri" w:hAnsi="Calibri" w:cs="Calibri"/>
          <w14:ligatures w14:val="standardContextual"/>
        </w:rPr>
        <w:t xml:space="preserve"> The Municipality must perform a cost or price analysis for purchases, including contract modifications, in excess of $250,000, in accordance with </w:t>
      </w:r>
      <w:hyperlink r:id="rId20" w:history="1">
        <w:r>
          <w:rPr>
            <w:rStyle w:val="Hyperlink"/>
            <w:rFonts w:ascii="Calibri" w:hAnsi="Calibri" w:cs="Calibri"/>
            <w:color w:val="174088"/>
            <w14:ligatures w14:val="standardContextual"/>
          </w:rPr>
          <w:t>§ 200.324</w:t>
        </w:r>
      </w:hyperlink>
      <w:r>
        <w:rPr>
          <w:rFonts w:ascii="Calibri" w:hAnsi="Calibri" w:cs="Calibri"/>
          <w:color w:val="174088"/>
          <w14:ligatures w14:val="standardContextual"/>
        </w:rPr>
        <w:t xml:space="preserve">. </w:t>
      </w:r>
      <w:r>
        <w:rPr>
          <w:rFonts w:ascii="Calibri" w:hAnsi="Calibri" w:cs="Calibri"/>
          <w14:ligatures w14:val="standardContextual"/>
        </w:rPr>
        <w:t>Evidence of the analysis must be documented.</w:t>
      </w:r>
    </w:p>
    <w:p w:rsidR="00B92D32" w:rsidRDefault="00B92D32" w:rsidP="00B92D32">
      <w:pPr>
        <w:ind w:left="360"/>
        <w:rPr>
          <w:rFonts w:ascii="Calibri" w:hAnsi="Calibri" w:cs="Calibri"/>
          <w14:ligatures w14:val="standardContextual"/>
        </w:rPr>
      </w:pPr>
    </w:p>
    <w:p w:rsidR="00B92D32" w:rsidRDefault="00B92D32" w:rsidP="00B92D32">
      <w:pPr>
        <w:pStyle w:val="ListParagraph"/>
        <w:numPr>
          <w:ilvl w:val="0"/>
          <w:numId w:val="3"/>
        </w:numPr>
        <w:rPr>
          <w:rFonts w:ascii="Calibri" w:hAnsi="Calibri" w:cs="Calibri"/>
          <w14:ligatures w14:val="standardContextual"/>
        </w:rPr>
      </w:pPr>
      <w:r>
        <w:rPr>
          <w:rFonts w:ascii="Calibri" w:hAnsi="Calibri" w:cs="Calibri"/>
          <w:b/>
          <w:bCs/>
          <w14:ligatures w14:val="standardContextual"/>
        </w:rPr>
        <w:t xml:space="preserve">Cost </w:t>
      </w:r>
      <w:proofErr w:type="spellStart"/>
      <w:r>
        <w:rPr>
          <w:rFonts w:ascii="Calibri" w:hAnsi="Calibri" w:cs="Calibri"/>
          <w:b/>
          <w:bCs/>
          <w14:ligatures w14:val="standardContextual"/>
        </w:rPr>
        <w:t>Allowability</w:t>
      </w:r>
      <w:proofErr w:type="spellEnd"/>
      <w:r>
        <w:rPr>
          <w:rFonts w:ascii="Calibri" w:hAnsi="Calibri" w:cs="Calibri"/>
          <w:b/>
          <w:bCs/>
          <w14:ligatures w14:val="standardContextual"/>
        </w:rPr>
        <w:t>.</w:t>
      </w:r>
      <w:r>
        <w:rPr>
          <w:rFonts w:ascii="Calibri" w:hAnsi="Calibri" w:cs="Calibri"/>
          <w14:ligatures w14:val="standardContextual"/>
        </w:rPr>
        <w:t xml:space="preserve"> The Municipality will determine cost </w:t>
      </w:r>
      <w:proofErr w:type="spellStart"/>
      <w:r>
        <w:rPr>
          <w:rFonts w:ascii="Calibri" w:hAnsi="Calibri" w:cs="Calibri"/>
          <w14:ligatures w14:val="standardContextual"/>
        </w:rPr>
        <w:t>allowability</w:t>
      </w:r>
      <w:proofErr w:type="spellEnd"/>
      <w:r>
        <w:rPr>
          <w:rFonts w:ascii="Calibri" w:hAnsi="Calibri" w:cs="Calibri"/>
          <w14:ligatures w14:val="standardContextual"/>
        </w:rPr>
        <w:t xml:space="preserve"> using </w:t>
      </w:r>
      <w:hyperlink r:id="rId21" w:history="1">
        <w:r>
          <w:rPr>
            <w:rStyle w:val="Hyperlink"/>
            <w:rFonts w:ascii="Calibri" w:hAnsi="Calibri" w:cs="Calibri"/>
            <w:color w:val="174088"/>
            <w14:ligatures w14:val="standardContextual"/>
          </w:rPr>
          <w:t>Federal Cost Principles</w:t>
        </w:r>
      </w:hyperlink>
      <w:r>
        <w:rPr>
          <w:rFonts w:ascii="Calibri" w:hAnsi="Calibri" w:cs="Calibri"/>
          <w14:ligatures w14:val="standardContextual"/>
        </w:rPr>
        <w:t>, reviewing the notice of funding award, and reviewing its funding agreement. Costs must be allowable, reasonable, and allocable to the funding (</w:t>
      </w:r>
      <w:hyperlink r:id="rId22" w:history="1">
        <w:r>
          <w:rPr>
            <w:rStyle w:val="Hyperlink"/>
            <w:rFonts w:ascii="Calibri" w:hAnsi="Calibri" w:cs="Calibri"/>
            <w:color w:val="174088"/>
            <w14:ligatures w14:val="standardContextual"/>
          </w:rPr>
          <w:t>2 CFR Part 200 Subpart E</w:t>
        </w:r>
      </w:hyperlink>
      <w:r>
        <w:rPr>
          <w:rFonts w:ascii="Calibri" w:hAnsi="Calibri" w:cs="Calibri"/>
          <w14:ligatures w14:val="standardContextual"/>
        </w:rPr>
        <w:t xml:space="preserve">). </w:t>
      </w:r>
      <w:bookmarkStart w:id="0" w:name="_GoBack"/>
      <w:bookmarkEnd w:id="0"/>
    </w:p>
    <w:p w:rsidR="00B92D32" w:rsidRDefault="00B92D32" w:rsidP="00B92D32">
      <w:pPr>
        <w:rPr>
          <w:rFonts w:ascii="Calibri" w:hAnsi="Calibri" w:cs="Calibri"/>
          <w14:ligatures w14:val="standardContextual"/>
        </w:rPr>
      </w:pPr>
    </w:p>
    <w:p w:rsidR="00B92D32" w:rsidRDefault="00B92D32" w:rsidP="00B92D32">
      <w:pPr>
        <w:pStyle w:val="ListParagraph"/>
        <w:numPr>
          <w:ilvl w:val="0"/>
          <w:numId w:val="4"/>
        </w:numPr>
        <w:rPr>
          <w:rFonts w:ascii="Calibri" w:hAnsi="Calibri" w:cs="Calibri"/>
          <w14:ligatures w14:val="standardContextual"/>
        </w:rPr>
      </w:pPr>
      <w:r>
        <w:rPr>
          <w:rFonts w:ascii="Calibri" w:hAnsi="Calibri" w:cs="Calibri"/>
          <w:b/>
          <w:bCs/>
          <w14:ligatures w14:val="standardContextual"/>
        </w:rPr>
        <w:t>Funding Agency Review.</w:t>
      </w:r>
      <w:r>
        <w:rPr>
          <w:rFonts w:ascii="Calibri" w:hAnsi="Calibri" w:cs="Calibri"/>
          <w14:ligatures w14:val="standardContextual"/>
        </w:rPr>
        <w:t xml:space="preserve"> The Municipality must submit the technical specifications of a proposed purchase and/or procurement documents for review if a funding agency has requested to review them, in accordance with </w:t>
      </w:r>
      <w:hyperlink r:id="rId23" w:history="1">
        <w:r>
          <w:rPr>
            <w:rStyle w:val="Hyperlink"/>
            <w:rFonts w:ascii="Calibri" w:hAnsi="Calibri" w:cs="Calibri"/>
            <w:color w:val="174088"/>
            <w14:ligatures w14:val="standardContextual"/>
          </w:rPr>
          <w:t>2 CFR § 200.325</w:t>
        </w:r>
      </w:hyperlink>
      <w:r>
        <w:rPr>
          <w:rFonts w:ascii="Calibri" w:hAnsi="Calibri" w:cs="Calibri"/>
          <w:color w:val="174088"/>
          <w14:ligatures w14:val="standardContextual"/>
        </w:rPr>
        <w:t>.</w:t>
      </w:r>
    </w:p>
    <w:p w:rsidR="00B92D32" w:rsidRDefault="00B92D32" w:rsidP="00B92D32">
      <w:pPr>
        <w:rPr>
          <w:rFonts w:ascii="Calibri" w:hAnsi="Calibri" w:cs="Calibri"/>
          <w14:ligatures w14:val="standardContextual"/>
        </w:rPr>
      </w:pPr>
    </w:p>
    <w:p w:rsidR="00B92D32" w:rsidRDefault="00B92D32" w:rsidP="00B92D32">
      <w:pPr>
        <w:pStyle w:val="ListParagraph"/>
        <w:numPr>
          <w:ilvl w:val="0"/>
          <w:numId w:val="4"/>
        </w:numPr>
        <w:rPr>
          <w:rFonts w:ascii="Calibri" w:hAnsi="Calibri" w:cs="Calibri"/>
          <w14:ligatures w14:val="standardContextual"/>
        </w:rPr>
      </w:pPr>
      <w:r>
        <w:rPr>
          <w:rFonts w:ascii="Calibri" w:hAnsi="Calibri" w:cs="Calibri"/>
          <w:b/>
          <w:bCs/>
          <w14:ligatures w14:val="standardContextual"/>
        </w:rPr>
        <w:t>Bonding Requirements.</w:t>
      </w:r>
      <w:r>
        <w:rPr>
          <w:rFonts w:ascii="Calibri" w:hAnsi="Calibri" w:cs="Calibri"/>
          <w14:ligatures w14:val="standardContextual"/>
        </w:rPr>
        <w:t xml:space="preserve"> The Municipality must comply with bid and bond requirements of </w:t>
      </w:r>
      <w:hyperlink r:id="rId24" w:history="1">
        <w:r>
          <w:rPr>
            <w:rStyle w:val="Hyperlink"/>
            <w:rFonts w:ascii="Calibri" w:hAnsi="Calibri" w:cs="Calibri"/>
            <w:color w:val="174088"/>
            <w14:ligatures w14:val="standardContextual"/>
          </w:rPr>
          <w:t>2 CFR § 200.326</w:t>
        </w:r>
      </w:hyperlink>
      <w:r>
        <w:rPr>
          <w:rFonts w:ascii="Calibri" w:hAnsi="Calibri" w:cs="Calibri"/>
          <w:color w:val="174088"/>
          <w14:ligatures w14:val="standardContextual"/>
        </w:rPr>
        <w:t xml:space="preserve"> </w:t>
      </w:r>
      <w:r>
        <w:rPr>
          <w:rFonts w:ascii="Calibri" w:hAnsi="Calibri" w:cs="Calibri"/>
          <w14:ligatures w14:val="standardContextual"/>
        </w:rPr>
        <w:t>unless the Municipality has a bonding policy and requirements for construction or facility improvement contracts or subcontracts, and those requirements exceed $250,000. When the Municipality has its own bonding policy and requirements, the Municipality must have the documents reviewed and approved by either the Federal agency or the pass-through entity to determine that the Federal interest is adequately protected. (</w:t>
      </w:r>
      <w:hyperlink r:id="rId25" w:history="1">
        <w:r>
          <w:rPr>
            <w:rStyle w:val="Hyperlink"/>
            <w:rFonts w:ascii="Calibri" w:hAnsi="Calibri" w:cs="Calibri"/>
            <w:color w:val="174088"/>
            <w14:ligatures w14:val="standardContextual"/>
          </w:rPr>
          <w:t>2 CFR § 200.326</w:t>
        </w:r>
      </w:hyperlink>
      <w:r>
        <w:rPr>
          <w:rFonts w:ascii="Calibri" w:hAnsi="Calibri" w:cs="Calibri"/>
          <w:color w:val="174088"/>
          <w14:ligatures w14:val="standardContextual"/>
        </w:rPr>
        <w:t>)</w:t>
      </w:r>
    </w:p>
    <w:p w:rsidR="00B92D32" w:rsidRDefault="00B92D32" w:rsidP="00B92D32">
      <w:pPr>
        <w:ind w:left="360"/>
        <w:rPr>
          <w:rFonts w:ascii="Calibri" w:hAnsi="Calibri" w:cs="Calibri"/>
          <w14:ligatures w14:val="standardContextual"/>
        </w:rPr>
      </w:pPr>
    </w:p>
    <w:p w:rsidR="00B92D32" w:rsidRDefault="00B92D32" w:rsidP="00B92D32">
      <w:pPr>
        <w:pStyle w:val="ListParagraph"/>
        <w:numPr>
          <w:ilvl w:val="0"/>
          <w:numId w:val="4"/>
        </w:numPr>
        <w:rPr>
          <w:rFonts w:ascii="Calibri" w:hAnsi="Calibri" w:cs="Calibri"/>
          <w14:ligatures w14:val="standardContextual"/>
        </w:rPr>
      </w:pPr>
      <w:r>
        <w:rPr>
          <w:rFonts w:ascii="Calibri" w:hAnsi="Calibri" w:cs="Calibri"/>
          <w:b/>
          <w14:ligatures w14:val="standardContextual"/>
        </w:rPr>
        <w:t xml:space="preserve">Federal Pass-Through Requirements. </w:t>
      </w:r>
      <w:r>
        <w:rPr>
          <w:rFonts w:ascii="Calibri" w:hAnsi="Calibri" w:cs="Calibri"/>
          <w:bCs/>
          <w14:ligatures w14:val="standardContextual"/>
        </w:rPr>
        <w:t>The Municipality must include specific federal compliance requirements, such as Davis Bacon Labor Standards, Section 3 Reporting Requirements, and Build America, Buy America (BABA) for example, in the procurement documents to alert prospective bidders to those requirements. (</w:t>
      </w:r>
      <w:hyperlink r:id="rId26" w:anchor=":~:text=Identify%20any%20additional%20requirements" w:history="1">
        <w:r>
          <w:rPr>
            <w:rStyle w:val="Hyperlink"/>
            <w:rFonts w:ascii="Calibri" w:hAnsi="Calibri" w:cs="Calibri"/>
            <w:bCs/>
            <w:color w:val="174088"/>
            <w14:ligatures w14:val="standardContextual"/>
          </w:rPr>
          <w:t>§200.319(d)(3)</w:t>
        </w:r>
      </w:hyperlink>
      <w:r>
        <w:rPr>
          <w:rFonts w:ascii="Calibri" w:hAnsi="Calibri" w:cs="Calibri"/>
          <w:bCs/>
          <w14:ligatures w14:val="standardContextual"/>
        </w:rPr>
        <w:t xml:space="preserve">)  The Municipality should confirm any federal pass-through requirements with the funding agency. </w:t>
      </w:r>
    </w:p>
    <w:p w:rsidR="00B92D32" w:rsidRDefault="00B92D32" w:rsidP="00B92D32">
      <w:pPr>
        <w:ind w:left="360"/>
        <w:rPr>
          <w:rFonts w:ascii="Calibri" w:hAnsi="Calibri" w:cs="Calibri"/>
          <w14:ligatures w14:val="standardContextual"/>
        </w:rPr>
      </w:pPr>
    </w:p>
    <w:p w:rsidR="00B92D32" w:rsidRDefault="00B92D32" w:rsidP="00B92D32">
      <w:pPr>
        <w:pStyle w:val="ListParagraph"/>
        <w:numPr>
          <w:ilvl w:val="0"/>
          <w:numId w:val="4"/>
        </w:numPr>
        <w:rPr>
          <w:rFonts w:ascii="Calibri" w:hAnsi="Calibri" w:cs="Calibri"/>
          <w:bCs/>
          <w14:ligatures w14:val="standardContextual"/>
        </w:rPr>
      </w:pPr>
      <w:r>
        <w:rPr>
          <w:rFonts w:ascii="Calibri" w:hAnsi="Calibri" w:cs="Calibri"/>
          <w:b/>
          <w14:ligatures w14:val="standardContextual"/>
        </w:rPr>
        <w:t>Pre-Positioned Vendors and Contractors.</w:t>
      </w:r>
      <w:r>
        <w:rPr>
          <w:rFonts w:ascii="Calibri" w:hAnsi="Calibri" w:cs="Calibri"/>
          <w:bCs/>
          <w14:ligatures w14:val="standardContextual"/>
        </w:rPr>
        <w:t xml:space="preserve"> The Municipality may pre-position contracts by awarding contracts for the potential performance of work. When pre-positioning contracts, the Municipality will request proposals from vendors and/or contractors in accordance with procurement categories and their requirements and develop a scope of work adequate to cover the anticipated work to be performed. The list will be updated at least every three years with the option of extending the contract for a one-year term (no more than four years total). Each pre-positioned vendor or contractor must be issued a master contract defining the specific services that are covered by the contract, the contract term, and additional items identified by the Municipality. Task Order assignments will be made by the Municipality following a review of the task order complexity, experience of the firm and its staff, capacity to complete the work within the desired timeframe, availability of contractor staff, and other factors applicable the Municipality deems important to the work to be performed.</w:t>
      </w:r>
    </w:p>
    <w:p w:rsidR="00B92D32" w:rsidRDefault="00B92D32" w:rsidP="00B92D32">
      <w:pPr>
        <w:pStyle w:val="ListParagraph"/>
        <w:rPr>
          <w:rFonts w:ascii="Calibri" w:hAnsi="Calibri" w:cs="Calibri"/>
          <w:bCs/>
          <w14:ligatures w14:val="standardContextual"/>
        </w:rPr>
      </w:pPr>
    </w:p>
    <w:p w:rsidR="00B92D32" w:rsidRDefault="00B92D32" w:rsidP="00B92D32">
      <w:pPr>
        <w:pStyle w:val="ListParagraph"/>
        <w:numPr>
          <w:ilvl w:val="0"/>
          <w:numId w:val="4"/>
        </w:numPr>
        <w:rPr>
          <w:rFonts w:ascii="Calibri" w:hAnsi="Calibri" w:cs="Calibri"/>
          <w14:ligatures w14:val="standardContextual"/>
        </w:rPr>
      </w:pPr>
      <w:r>
        <w:rPr>
          <w:rFonts w:ascii="Calibri" w:hAnsi="Calibri" w:cs="Calibri"/>
          <w:b/>
          <w:bCs/>
          <w14:ligatures w14:val="standardContextual"/>
        </w:rPr>
        <w:t>Documentation.</w:t>
      </w:r>
      <w:r>
        <w:rPr>
          <w:rFonts w:ascii="Calibri" w:hAnsi="Calibri" w:cs="Calibri"/>
          <w14:ligatures w14:val="standardContextual"/>
        </w:rPr>
        <w:t xml:space="preserve"> The Municipality must maintain documentation and records sufficient to detail the history of each procurement transaction in accordance with </w:t>
      </w:r>
      <w:hyperlink r:id="rId27" w:anchor=":~:text=Procurement%20records." w:history="1">
        <w:r>
          <w:rPr>
            <w:rStyle w:val="Hyperlink"/>
            <w:rFonts w:ascii="Calibri" w:hAnsi="Calibri" w:cs="Calibri"/>
            <w:color w:val="174088"/>
            <w14:ligatures w14:val="standardContextual"/>
          </w:rPr>
          <w:t>2 CFR § 200.318(</w:t>
        </w:r>
        <w:proofErr w:type="spellStart"/>
        <w:r>
          <w:rPr>
            <w:rStyle w:val="Hyperlink"/>
            <w:rFonts w:ascii="Calibri" w:hAnsi="Calibri" w:cs="Calibri"/>
            <w:color w:val="174088"/>
            <w14:ligatures w14:val="standardContextual"/>
          </w:rPr>
          <w:t>i</w:t>
        </w:r>
        <w:proofErr w:type="spellEnd"/>
        <w:r>
          <w:rPr>
            <w:rStyle w:val="Hyperlink"/>
            <w:rFonts w:ascii="Calibri" w:hAnsi="Calibri" w:cs="Calibri"/>
            <w:color w:val="174088"/>
            <w14:ligatures w14:val="standardContextual"/>
          </w:rPr>
          <w:t>)</w:t>
        </w:r>
      </w:hyperlink>
      <w:r>
        <w:rPr>
          <w:rFonts w:ascii="Calibri" w:hAnsi="Calibri" w:cs="Calibri"/>
          <w14:ligatures w14:val="standardContextual"/>
        </w:rPr>
        <w:t>. At minimum, these records must include the rationale for the procurement method, contract type selection, contractor selection or rejection, and the basis for the contract price plus other documentation required by these procurement requirements. Additional documentation may be required based on the requirements of specific procurement categories.</w:t>
      </w:r>
    </w:p>
    <w:p w:rsidR="00B92D32" w:rsidRDefault="00B92D32" w:rsidP="00B92D32">
      <w:pPr>
        <w:ind w:left="360"/>
        <w:rPr>
          <w:rFonts w:ascii="Calibri" w:hAnsi="Calibri" w:cs="Calibri"/>
          <w14:ligatures w14:val="standardContextual"/>
        </w:rPr>
      </w:pPr>
    </w:p>
    <w:p w:rsidR="00B92D32" w:rsidRDefault="00B92D32" w:rsidP="00B92D32">
      <w:pPr>
        <w:rPr>
          <w:rFonts w:ascii="Calibri" w:hAnsi="Calibri" w:cs="Calibri"/>
          <w14:ligatures w14:val="standardContextual"/>
        </w:rPr>
      </w:pPr>
      <w:r>
        <w:rPr>
          <w:rFonts w:ascii="Calibri" w:hAnsi="Calibri" w:cs="Calibri"/>
          <w:bCs/>
          <w14:ligatures w14:val="standardContextual"/>
        </w:rPr>
        <w:t>In the case of purchases made using Federal funds, if state law or the Municipality’s supplemental policies conflict with Federal requirements, the stricter of the two must be applied.</w:t>
      </w:r>
    </w:p>
    <w:p w:rsidR="00B92D32" w:rsidRDefault="00B92D32" w:rsidP="00B92D32">
      <w:pPr>
        <w:rPr>
          <w:rFonts w:ascii="Calibri Light" w:hAnsi="Calibri Light" w:cs="Courier"/>
        </w:rPr>
      </w:pPr>
    </w:p>
    <w:p w:rsidR="00B92D32" w:rsidRPr="008B4B06" w:rsidRDefault="00B92D32" w:rsidP="008B4B06">
      <w:pPr>
        <w:pStyle w:val="NoSpacing"/>
      </w:pPr>
    </w:p>
    <w:sectPr w:rsidR="00B92D32" w:rsidRPr="008B4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718FD"/>
    <w:multiLevelType w:val="multilevel"/>
    <w:tmpl w:val="900CB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E5C12"/>
    <w:multiLevelType w:val="multilevel"/>
    <w:tmpl w:val="900CB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00BD6"/>
    <w:multiLevelType w:val="multilevel"/>
    <w:tmpl w:val="900CB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17EFC"/>
    <w:multiLevelType w:val="hybridMultilevel"/>
    <w:tmpl w:val="ADECD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06"/>
    <w:rsid w:val="00515B62"/>
    <w:rsid w:val="008B4B06"/>
    <w:rsid w:val="00B9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16B82-7FA7-4CD8-AD00-D6F59E89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B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4B06"/>
    <w:pPr>
      <w:spacing w:after="0" w:line="240" w:lineRule="auto"/>
    </w:pPr>
  </w:style>
  <w:style w:type="character" w:styleId="Hyperlink">
    <w:name w:val="Hyperlink"/>
    <w:basedOn w:val="DefaultParagraphFont"/>
    <w:uiPriority w:val="99"/>
    <w:unhideWhenUsed/>
    <w:rsid w:val="008B4B06"/>
    <w:rPr>
      <w:color w:val="0563C1" w:themeColor="hyperlink"/>
      <w:u w:val="single"/>
    </w:rPr>
  </w:style>
  <w:style w:type="paragraph" w:styleId="ListParagraph">
    <w:name w:val="List Paragraph"/>
    <w:basedOn w:val="Normal"/>
    <w:uiPriority w:val="34"/>
    <w:qFormat/>
    <w:rsid w:val="00B92D32"/>
    <w:pPr>
      <w:widowControl w:val="0"/>
      <w:autoSpaceDE w:val="0"/>
      <w:autoSpaceDN w:val="0"/>
      <w:adjustRightInd w:val="0"/>
      <w:ind w:left="720"/>
      <w:contextualSpacing/>
    </w:pPr>
    <w:rPr>
      <w:rFonts w:ascii="Calibri Light" w:eastAsiaTheme="minorEastAsia" w:hAnsi="Calibri Light"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793778">
      <w:bodyDiv w:val="1"/>
      <w:marLeft w:val="0"/>
      <w:marRight w:val="0"/>
      <w:marTop w:val="0"/>
      <w:marBottom w:val="0"/>
      <w:divBdr>
        <w:top w:val="none" w:sz="0" w:space="0" w:color="auto"/>
        <w:left w:val="none" w:sz="0" w:space="0" w:color="auto"/>
        <w:bottom w:val="none" w:sz="0" w:space="0" w:color="auto"/>
        <w:right w:val="none" w:sz="0" w:space="0" w:color="auto"/>
      </w:divBdr>
    </w:div>
    <w:div w:id="95552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subtitle-A/chapter-II/part-200" TargetMode="External"/><Relationship Id="rId13" Type="http://schemas.openxmlformats.org/officeDocument/2006/relationships/hyperlink" Target="https://www.ecfr.gov/current/title-2/subtitle-A/chapter-II/part-200/subpart-D/subject-group-ECFR45ddd4419ad436d" TargetMode="External"/><Relationship Id="rId18" Type="http://schemas.openxmlformats.org/officeDocument/2006/relationships/hyperlink" Target="https://www.ecfr.gov/current/title-2/part-184" TargetMode="External"/><Relationship Id="rId26" Type="http://schemas.openxmlformats.org/officeDocument/2006/relationships/hyperlink" Target="https://www.ecfr.gov/current/title-2/subtitle-A/chapter-II/part-200/subpart-D/subject-group-ECFR45ddd4419ad436d/section-200.319" TargetMode="External"/><Relationship Id="rId3" Type="http://schemas.openxmlformats.org/officeDocument/2006/relationships/settings" Target="settings.xml"/><Relationship Id="rId21" Type="http://schemas.openxmlformats.org/officeDocument/2006/relationships/hyperlink" Target="https://www.ecfr.gov/current/title-2/part-200/subpart-E" TargetMode="External"/><Relationship Id="rId7" Type="http://schemas.openxmlformats.org/officeDocument/2006/relationships/hyperlink" Target="https://www.ecfr.gov/current/title-2/subtitle-A/chapter-II/part-200/subpart-D/subject-group-ECFR45ddd4419ad436d/section-200.319" TargetMode="External"/><Relationship Id="rId12" Type="http://schemas.openxmlformats.org/officeDocument/2006/relationships/hyperlink" Target="https://www.ecfr.gov/current/title-2/subtitle-A/chapter-II/part-200/subpart-D/subject-group-ECFR45ddd4419ad436d/section-200.318" TargetMode="External"/><Relationship Id="rId17" Type="http://schemas.openxmlformats.org/officeDocument/2006/relationships/hyperlink" Target="https://www.ecfr.gov/current/title-2/subtitle-A/chapter-II/part-200/subpart-D/subject-group-ECFR45ddd4419ad436d/section-200.322" TargetMode="External"/><Relationship Id="rId25" Type="http://schemas.openxmlformats.org/officeDocument/2006/relationships/hyperlink" Target="https://www.ecfr.gov/current/title-2/subtitle-A/chapter-II/part-200/subpart-D/subject-group-ECFR45ddd4419ad436d/section-200.326" TargetMode="External"/><Relationship Id="rId2" Type="http://schemas.openxmlformats.org/officeDocument/2006/relationships/styles" Target="styles.xml"/><Relationship Id="rId16" Type="http://schemas.openxmlformats.org/officeDocument/2006/relationships/hyperlink" Target="https://www.ecfr.gov/current/title-2/subtitle-A/chapter-II/part-200/subpart-D/subject-group-ECFR45ddd4419ad436d" TargetMode="External"/><Relationship Id="rId20" Type="http://schemas.openxmlformats.org/officeDocument/2006/relationships/hyperlink" Target="https://www.ecfr.gov/current/title-2/subtitle-A/chapter-II/part-200/subpart-D/subject-group-ECFR45ddd4419ad436d/section-200.32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dminasst@concordvt.org" TargetMode="External"/><Relationship Id="rId11" Type="http://schemas.openxmlformats.org/officeDocument/2006/relationships/hyperlink" Target="https://www.ecfr.gov/current/title-2/subtitle-A/chapter-II/part-200/subpart-D/subject-group-ECFR45ddd4419ad436d/section-200.321" TargetMode="External"/><Relationship Id="rId24" Type="http://schemas.openxmlformats.org/officeDocument/2006/relationships/hyperlink" Target="https://www.ecfr.gov/current/title-2/subtitle-A/chapter-II/part-200/subpart-D/subject-group-ECFR45ddd4419ad436d/section-200.326" TargetMode="External"/><Relationship Id="rId5" Type="http://schemas.openxmlformats.org/officeDocument/2006/relationships/hyperlink" Target="http://www.concordvt.us" TargetMode="External"/><Relationship Id="rId15" Type="http://schemas.openxmlformats.org/officeDocument/2006/relationships/hyperlink" Target="https://www.ecfr.gov/current/title-2/subtitle-A/chapter-II/part-200/subpart-D/subject-group-ECFR45ddd4419ad436d/section-200.323" TargetMode="External"/><Relationship Id="rId23" Type="http://schemas.openxmlformats.org/officeDocument/2006/relationships/hyperlink" Target="https://www.ecfr.gov/current/title-2/subtitle-A/chapter-II/part-200/subpart-D/subject-group-ECFR45ddd4419ad436d/section-200.325" TargetMode="External"/><Relationship Id="rId28" Type="http://schemas.openxmlformats.org/officeDocument/2006/relationships/fontTable" Target="fontTable.xml"/><Relationship Id="rId10" Type="http://schemas.openxmlformats.org/officeDocument/2006/relationships/hyperlink" Target="https://www.ecfr.gov/current/title-2/subtitle-A/chapter-II/part-200/subpart-D/subject-group-ECFR45ddd4419ad436d/section-200.318" TargetMode="External"/><Relationship Id="rId19" Type="http://schemas.openxmlformats.org/officeDocument/2006/relationships/hyperlink" Target="https://www.ecfr.gov/current/title-2/subtitle-A/chapter-I/part-184" TargetMode="External"/><Relationship Id="rId4" Type="http://schemas.openxmlformats.org/officeDocument/2006/relationships/webSettings" Target="webSettings.xml"/><Relationship Id="rId9" Type="http://schemas.openxmlformats.org/officeDocument/2006/relationships/hyperlink" Target="https://www.ecfr.gov/current/title-2/subtitle-A/chapter-II/part-200/subpart-D/subject-group-ECFR45ddd4419ad436d/section-200.318" TargetMode="External"/><Relationship Id="rId14" Type="http://schemas.openxmlformats.org/officeDocument/2006/relationships/hyperlink" Target="https://www.ecfr.gov/current/title-2/subtitle-A/chapter-II/part-200/subpart-D/subject-group-ECFR45ddd4419ad436d/section-200.318" TargetMode="External"/><Relationship Id="rId22" Type="http://schemas.openxmlformats.org/officeDocument/2006/relationships/hyperlink" Target="https://www.ecfr.gov/current/title-2/part-200/subpart-E" TargetMode="External"/><Relationship Id="rId27" Type="http://schemas.openxmlformats.org/officeDocument/2006/relationships/hyperlink" Target="https://www.ecfr.gov/current/title-2/subtitle-A/chapter-II/part-200/subpart-D/subject-group-ECFR45ddd4419ad436d/section-20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LaMadeleine</dc:creator>
  <cp:keywords/>
  <dc:description/>
  <cp:lastModifiedBy>Sue LaMadeleine</cp:lastModifiedBy>
  <cp:revision>1</cp:revision>
  <dcterms:created xsi:type="dcterms:W3CDTF">2025-12-22T13:39:00Z</dcterms:created>
  <dcterms:modified xsi:type="dcterms:W3CDTF">2025-12-22T13:56:00Z</dcterms:modified>
</cp:coreProperties>
</file>